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AFF69C" w14:textId="529BE026" w:rsidR="00F133C1" w:rsidRPr="00F133C1" w:rsidRDefault="00002F58" w:rsidP="00F133C1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>Samson Agro e Vredestein Tyres collaborano per un innovativo test degli pneumatici per autocisterne</w:t>
      </w:r>
    </w:p>
    <w:p w14:paraId="626F29B4" w14:textId="77777777" w:rsidR="00630F18" w:rsidRPr="005C5677" w:rsidRDefault="00630F18" w:rsidP="00630F18">
      <w:pPr>
        <w:ind w:left="360"/>
        <w:rPr>
          <w:rFonts w:ascii="Century Gothic" w:hAnsi="Century Gothic" w:cs="Clother Light"/>
          <w:b/>
          <w:bCs/>
          <w:sz w:val="20"/>
          <w:szCs w:val="20"/>
        </w:rPr>
      </w:pPr>
    </w:p>
    <w:p w14:paraId="79D0DCCD" w14:textId="77777777" w:rsidR="00630F18" w:rsidRDefault="00630F18"/>
    <w:p w14:paraId="39270659" w14:textId="3005FB72" w:rsidR="00B03C95" w:rsidRDefault="00B235DD" w:rsidP="002021B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sz w:val="20"/>
        </w:rPr>
        <w:t>21</w:t>
      </w:r>
      <w:r w:rsidRPr="0062232C">
        <w:rPr>
          <w:rFonts w:ascii="Century Gothic" w:hAnsi="Century Gothic"/>
          <w:b/>
          <w:sz w:val="20"/>
        </w:rPr>
        <w:t xml:space="preserve"> novembre 2024</w:t>
      </w:r>
      <w:r w:rsidRPr="0062232C">
        <w:rPr>
          <w:rFonts w:ascii="Century Gothic" w:hAnsi="Century Gothic"/>
          <w:sz w:val="20"/>
        </w:rPr>
        <w:t xml:space="preserve"> </w:t>
      </w:r>
      <w:r w:rsidR="00FF529F">
        <w:rPr>
          <w:rFonts w:ascii="Century Gothic" w:hAnsi="Century Gothic"/>
          <w:sz w:val="20"/>
        </w:rPr>
        <w:t xml:space="preserve">– Samson Agro e Apollo Tyres hanno completato un test approfondito degli pneumatici nella zona di Viborg, in Danimarca, per migliorare l'efficienza della movimentazione dei fertilizzanti organici. Questa collaborazione ha dato vita a uno studio che ha preso in esame cinque diverse misure di pneumatici Vredestein per autocisterne, valutandone l'impatto sul consumo di carburante, sul compattamento del suolo e sulle prestazioni complessive sia sul campo </w:t>
      </w:r>
      <w:r w:rsidR="00BD2254">
        <w:rPr>
          <w:rFonts w:ascii="Century Gothic" w:hAnsi="Century Gothic"/>
          <w:sz w:val="20"/>
        </w:rPr>
        <w:t>sia</w:t>
      </w:r>
      <w:r w:rsidR="00FF529F">
        <w:rPr>
          <w:rFonts w:ascii="Century Gothic" w:hAnsi="Century Gothic"/>
          <w:sz w:val="20"/>
        </w:rPr>
        <w:t xml:space="preserve"> su strada. </w:t>
      </w:r>
    </w:p>
    <w:p w14:paraId="306810F2" w14:textId="77777777" w:rsidR="00B03C95" w:rsidRDefault="00B03C95" w:rsidP="002021B2">
      <w:pPr>
        <w:rPr>
          <w:rFonts w:ascii="Century Gothic" w:hAnsi="Century Gothic" w:cs="Clother Light"/>
          <w:sz w:val="20"/>
          <w:szCs w:val="20"/>
        </w:rPr>
      </w:pPr>
    </w:p>
    <w:p w14:paraId="4CC38C4A" w14:textId="499B0080" w:rsidR="002021B2" w:rsidRPr="002021B2" w:rsidRDefault="002021B2" w:rsidP="002021B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Il test è stato eseguito con un trattore Case Puma 260 CVX con autocisterna con assale tandem Samson PG II Genesis. Sono stati sottoposti al test i seguenti pneumatici:</w:t>
      </w:r>
    </w:p>
    <w:p w14:paraId="19739A77" w14:textId="77777777" w:rsidR="002021B2" w:rsidRPr="006E6F09" w:rsidRDefault="002021B2" w:rsidP="006E6F09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Vredestein Flotation Trac 650/55 R26.5 </w:t>
      </w:r>
    </w:p>
    <w:p w14:paraId="02F994A3" w14:textId="77777777" w:rsidR="002021B2" w:rsidRPr="006E6F09" w:rsidRDefault="002021B2" w:rsidP="006E6F09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Vredestein Flotation Trac 750/60 R30.5 (pneumatico di riferimento)</w:t>
      </w:r>
    </w:p>
    <w:p w14:paraId="3BC7D6AE" w14:textId="77777777" w:rsidR="002021B2" w:rsidRPr="005C5677" w:rsidRDefault="002021B2" w:rsidP="006E6F09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sz w:val="20"/>
          <w:szCs w:val="20"/>
          <w:lang w:val="en-US"/>
        </w:rPr>
      </w:pPr>
      <w:r w:rsidRPr="005C5677">
        <w:rPr>
          <w:rFonts w:ascii="Century Gothic" w:hAnsi="Century Gothic"/>
          <w:sz w:val="20"/>
          <w:lang w:val="en-US"/>
        </w:rPr>
        <w:t xml:space="preserve">Vredestein Flotation Optimall VF 750/60 R30.5 </w:t>
      </w:r>
    </w:p>
    <w:p w14:paraId="7C83A428" w14:textId="77777777" w:rsidR="002021B2" w:rsidRPr="006E6F09" w:rsidRDefault="002021B2" w:rsidP="006E6F09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Vredestein Flotation Trac 800/60 R32 </w:t>
      </w:r>
    </w:p>
    <w:p w14:paraId="613D864B" w14:textId="77777777" w:rsidR="002021B2" w:rsidRPr="006E6F09" w:rsidRDefault="002021B2" w:rsidP="006E6F09">
      <w:pPr>
        <w:pStyle w:val="Paragrafoelenco"/>
        <w:numPr>
          <w:ilvl w:val="0"/>
          <w:numId w:val="3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Vredestein Flotation Trac 800/60 R38 </w:t>
      </w:r>
    </w:p>
    <w:p w14:paraId="58906587" w14:textId="77777777" w:rsidR="002C44C2" w:rsidRPr="00840B2C" w:rsidRDefault="002C44C2">
      <w:pPr>
        <w:rPr>
          <w:rFonts w:ascii="Century Gothic" w:hAnsi="Century Gothic" w:cs="Clother Light"/>
          <w:sz w:val="20"/>
          <w:szCs w:val="20"/>
        </w:rPr>
      </w:pPr>
    </w:p>
    <w:p w14:paraId="7BF4EE80" w14:textId="77777777" w:rsidR="00840B2C" w:rsidRPr="00840B2C" w:rsidRDefault="00840B2C" w:rsidP="00840B2C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 xml:space="preserve">Effetto del diametro dello pneumatico </w:t>
      </w:r>
    </w:p>
    <w:p w14:paraId="38F67A2D" w14:textId="6512C6E7" w:rsidR="00840B2C" w:rsidRPr="00840B2C" w:rsidRDefault="00840B2C" w:rsidP="00840B2C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 risultati ottenuti sul campo indicano che il passaggio dallo pneumatico Vredestein più piccolo a quello più grande offre vantaggi sostanziali, con un notevole miglioramento in termini di efficienza del carburante e minore compattamento del suolo. Con lo pneumatico </w:t>
      </w:r>
      <w:r w:rsidR="00387BC1">
        <w:rPr>
          <w:rFonts w:ascii="Century Gothic" w:hAnsi="Century Gothic"/>
          <w:sz w:val="20"/>
        </w:rPr>
        <w:t>più grande</w:t>
      </w:r>
      <w:r>
        <w:rPr>
          <w:rFonts w:ascii="Century Gothic" w:hAnsi="Century Gothic"/>
          <w:sz w:val="20"/>
        </w:rPr>
        <w:t xml:space="preserve"> è stato possibile ottenere un risparmio di carburante fino al 14% rispetto allo pneumatico di riferimento</w:t>
      </w:r>
      <w:r w:rsidR="00387BC1">
        <w:rPr>
          <w:rFonts w:ascii="Century Gothic" w:hAnsi="Century Gothic"/>
          <w:sz w:val="20"/>
        </w:rPr>
        <w:t xml:space="preserve"> mentre lo</w:t>
      </w:r>
      <w:r>
        <w:rPr>
          <w:rFonts w:ascii="Century Gothic" w:hAnsi="Century Gothic"/>
          <w:sz w:val="20"/>
        </w:rPr>
        <w:t xml:space="preserve"> slittamento delle ruote si è ridotto notevolmente (fino al 30%), anche se tra gli pneumatici di </w:t>
      </w:r>
      <w:r w:rsidR="00B01184">
        <w:rPr>
          <w:rFonts w:ascii="Century Gothic" w:hAnsi="Century Gothic"/>
          <w:sz w:val="20"/>
        </w:rPr>
        <w:t>diametro</w:t>
      </w:r>
      <w:r>
        <w:rPr>
          <w:rFonts w:ascii="Century Gothic" w:hAnsi="Century Gothic"/>
          <w:sz w:val="20"/>
        </w:rPr>
        <w:t xml:space="preserve"> </w:t>
      </w:r>
      <w:r w:rsidR="006A1360">
        <w:rPr>
          <w:rFonts w:ascii="Century Gothic" w:hAnsi="Century Gothic"/>
          <w:sz w:val="20"/>
        </w:rPr>
        <w:t>maggio</w:t>
      </w:r>
      <w:r w:rsidR="00B01184">
        <w:rPr>
          <w:rFonts w:ascii="Century Gothic" w:hAnsi="Century Gothic"/>
          <w:sz w:val="20"/>
        </w:rPr>
        <w:t>re</w:t>
      </w:r>
      <w:r w:rsidR="006A1360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le </w:t>
      </w:r>
      <w:r w:rsidRPr="00B235DD">
        <w:rPr>
          <w:rFonts w:ascii="Century Gothic" w:hAnsi="Century Gothic"/>
          <w:sz w:val="20"/>
        </w:rPr>
        <w:t xml:space="preserve">differenze si </w:t>
      </w:r>
      <w:r w:rsidR="00B235DD" w:rsidRPr="00B235DD">
        <w:rPr>
          <w:rFonts w:ascii="Century Gothic" w:hAnsi="Century Gothic"/>
          <w:sz w:val="20"/>
        </w:rPr>
        <w:t>assottigliano</w:t>
      </w:r>
      <w:r w:rsidRPr="00B235DD">
        <w:rPr>
          <w:rFonts w:ascii="Century Gothic" w:hAnsi="Century Gothic"/>
          <w:sz w:val="20"/>
        </w:rPr>
        <w:t xml:space="preserve">. L'impronta </w:t>
      </w:r>
      <w:r w:rsidR="00387BC1">
        <w:rPr>
          <w:rFonts w:ascii="Century Gothic" w:hAnsi="Century Gothic"/>
          <w:sz w:val="20"/>
        </w:rPr>
        <w:t>più ampia</w:t>
      </w:r>
      <w:r>
        <w:rPr>
          <w:rFonts w:ascii="Century Gothic" w:hAnsi="Century Gothic"/>
          <w:sz w:val="20"/>
        </w:rPr>
        <w:t xml:space="preserve"> dello pneumatico </w:t>
      </w:r>
      <w:r w:rsidR="00387BC1">
        <w:rPr>
          <w:rFonts w:ascii="Century Gothic" w:hAnsi="Century Gothic"/>
          <w:sz w:val="20"/>
        </w:rPr>
        <w:t>di maggiori dimensioni</w:t>
      </w:r>
      <w:r>
        <w:rPr>
          <w:rFonts w:ascii="Century Gothic" w:hAnsi="Century Gothic"/>
          <w:sz w:val="20"/>
        </w:rPr>
        <w:t xml:space="preserve"> distribuisce il carico in modo più uniforme sul terreno, che subisce una pressione di contatto inferiore a 1,0 bar; ciò contribuisce a ridurre il compattamento del suolo e a proteggere il terreno.</w:t>
      </w:r>
    </w:p>
    <w:p w14:paraId="10AAAD00" w14:textId="77777777" w:rsidR="00840B2C" w:rsidRPr="00840B2C" w:rsidRDefault="00840B2C">
      <w:pPr>
        <w:rPr>
          <w:rFonts w:ascii="Century Gothic" w:hAnsi="Century Gothic" w:cs="Clother Light"/>
          <w:sz w:val="20"/>
          <w:szCs w:val="20"/>
        </w:rPr>
      </w:pPr>
    </w:p>
    <w:p w14:paraId="4BEB2473" w14:textId="18C765B5" w:rsidR="00B17A52" w:rsidRPr="00B17A52" w:rsidRDefault="00B17A52" w:rsidP="00B17A52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Differenze tra pneumatici VF e non VF</w:t>
      </w:r>
    </w:p>
    <w:p w14:paraId="16E231DC" w14:textId="07958E10" w:rsidR="00B17A52" w:rsidRPr="00B17A52" w:rsidRDefault="00B17A52" w:rsidP="00B17A5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Il risparmio di carburante sul campo aumenta ulteriormente in caso di applicazione della tecnologia VF, che consente agli pneumatici di adattarsi in modo flessibile ai diversi carichi e terreni. Con il Vredestein Flotation Optimall VF 750/60</w:t>
      </w:r>
      <w:r w:rsidR="00695B3D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R30.5 è stato possibile risparmiare fino all'8% di carburante rispetto allo pneumatico di riferimento non VF della stessa misura. </w:t>
      </w:r>
    </w:p>
    <w:p w14:paraId="29E2CA41" w14:textId="77777777" w:rsidR="00E41F44" w:rsidRDefault="00E41F44" w:rsidP="00B17A52">
      <w:pPr>
        <w:rPr>
          <w:rFonts w:ascii="Century Gothic" w:hAnsi="Century Gothic" w:cs="Clother Light"/>
          <w:sz w:val="20"/>
          <w:szCs w:val="20"/>
        </w:rPr>
      </w:pPr>
    </w:p>
    <w:p w14:paraId="7E9F95D7" w14:textId="51C764F5" w:rsidR="00B17A52" w:rsidRPr="00B17A52" w:rsidRDefault="00B17A52" w:rsidP="00B17A5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Per le operazioni che prevedono una notevole percorrenza su strada, il test ha evidenziato differenze lievi nel consumo di carburante. Tuttavia, lo pneumatico Vredestein Flotation Optimall VF si è rivelato il più conveniente nei test.</w:t>
      </w:r>
    </w:p>
    <w:p w14:paraId="4B445FE7" w14:textId="77777777" w:rsidR="00B17A52" w:rsidRPr="00B17A52" w:rsidRDefault="00B17A52" w:rsidP="00B17A52">
      <w:pPr>
        <w:rPr>
          <w:rFonts w:ascii="Century Gothic" w:hAnsi="Century Gothic" w:cs="Clother Light"/>
          <w:sz w:val="20"/>
          <w:szCs w:val="20"/>
        </w:rPr>
      </w:pPr>
    </w:p>
    <w:p w14:paraId="191FF211" w14:textId="7A13E185" w:rsidR="00B17A52" w:rsidRPr="00B17A52" w:rsidRDefault="00A9283A" w:rsidP="00B17A52">
      <w:pPr>
        <w:rPr>
          <w:rFonts w:ascii="Century Gothic" w:hAnsi="Century Gothic" w:cs="Clother Light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Vantaggi della regolazione della pressione di gonfiaggio e della trazione</w:t>
      </w:r>
    </w:p>
    <w:p w14:paraId="79964526" w14:textId="484E4F1F" w:rsidR="00B17A52" w:rsidRPr="00B17A52" w:rsidRDefault="00B17A52" w:rsidP="00B17A5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Il test ha inoltre evidenziato gli ulteriori vantaggi offerti dalla regolazione della pressione degli pneumatici mediante un sistema di gonfiaggio centralizzato (CTIS), che regola la pressione</w:t>
      </w:r>
      <w:r w:rsidR="00F2536F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in base alle condizioni di lavoro (sul campo e su strada) per garantire prestazioni ottimali degli pneumatici. Questa funzione non solo migliora la protezione del suolo, ma riduce notevolmente il consumo di carburante, fino al 10%. Inoltre, dotando di trazione l'autocisterna</w:t>
      </w:r>
      <w:r w:rsidR="005C5677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si riduc</w:t>
      </w:r>
      <w:r w:rsidR="00AF2C05">
        <w:rPr>
          <w:rFonts w:ascii="Century Gothic" w:hAnsi="Century Gothic"/>
          <w:sz w:val="20"/>
        </w:rPr>
        <w:t xml:space="preserve">ono </w:t>
      </w:r>
      <w:r>
        <w:rPr>
          <w:rFonts w:ascii="Century Gothic" w:hAnsi="Century Gothic"/>
          <w:sz w:val="20"/>
        </w:rPr>
        <w:t>notevolmente</w:t>
      </w:r>
      <w:r w:rsidR="00837399">
        <w:rPr>
          <w:rFonts w:ascii="Century Gothic" w:hAnsi="Century Gothic"/>
          <w:sz w:val="20"/>
        </w:rPr>
        <w:t xml:space="preserve">, fino al 16%, </w:t>
      </w:r>
      <w:r>
        <w:rPr>
          <w:rFonts w:ascii="Century Gothic" w:hAnsi="Century Gothic"/>
          <w:sz w:val="20"/>
        </w:rPr>
        <w:t>la profondità dell'impronta lasciata e il compattamento del suolo.</w:t>
      </w:r>
    </w:p>
    <w:p w14:paraId="6B59492A" w14:textId="77777777" w:rsidR="00B235DD" w:rsidRPr="00B17A52" w:rsidRDefault="00B235DD" w:rsidP="00B17A52">
      <w:pPr>
        <w:rPr>
          <w:rFonts w:ascii="Century Gothic" w:hAnsi="Century Gothic" w:cs="Clother Light"/>
          <w:sz w:val="20"/>
          <w:szCs w:val="20"/>
        </w:rPr>
      </w:pPr>
    </w:p>
    <w:p w14:paraId="170659F2" w14:textId="52F01B4C" w:rsidR="00B17A52" w:rsidRPr="00B17A52" w:rsidRDefault="00B17A52" w:rsidP="00B17A5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In sintesi, dai risultati emerge quanto sia importante scegliere lo pneumatico appropriato. </w:t>
      </w:r>
      <w:r w:rsidR="00B235DD">
        <w:rPr>
          <w:rFonts w:ascii="Century Gothic" w:hAnsi="Century Gothic"/>
          <w:sz w:val="20"/>
        </w:rPr>
        <w:t xml:space="preserve">  </w:t>
      </w:r>
      <w:r>
        <w:rPr>
          <w:rFonts w:ascii="Century Gothic" w:hAnsi="Century Gothic"/>
          <w:sz w:val="20"/>
        </w:rPr>
        <w:t xml:space="preserve">La tecnologia VF, la trazione e i sistemi di regolazione della pressione ottimizzano ulteriormente le prestazioni degli pneumatici. Le ruote con un diametro ridotto possono </w:t>
      </w:r>
      <w:r>
        <w:rPr>
          <w:rFonts w:ascii="Century Gothic" w:hAnsi="Century Gothic"/>
          <w:sz w:val="20"/>
        </w:rPr>
        <w:lastRenderedPageBreak/>
        <w:t xml:space="preserve">essere </w:t>
      </w:r>
      <w:r w:rsidR="00FC097D">
        <w:rPr>
          <w:rFonts w:ascii="Century Gothic" w:hAnsi="Century Gothic"/>
          <w:sz w:val="20"/>
        </w:rPr>
        <w:t>preferibili</w:t>
      </w:r>
      <w:r>
        <w:rPr>
          <w:rFonts w:ascii="Century Gothic" w:hAnsi="Century Gothic"/>
          <w:sz w:val="20"/>
        </w:rPr>
        <w:t xml:space="preserve"> per il trasporto su strada, mentre quelle di grande diametro sono più convenienti sul campo o per i lavori che prevedono un utilizzo limitato su</w:t>
      </w:r>
      <w:r w:rsidR="00A56DCD">
        <w:rPr>
          <w:rFonts w:ascii="Century Gothic" w:hAnsi="Century Gothic"/>
          <w:sz w:val="20"/>
        </w:rPr>
        <w:t>L selciato</w:t>
      </w:r>
      <w:r>
        <w:rPr>
          <w:rFonts w:ascii="Century Gothic" w:hAnsi="Century Gothic"/>
          <w:sz w:val="20"/>
        </w:rPr>
        <w:t xml:space="preserve">. Queste soluzioni offrono chiari vantaggi sia in termini di efficienza dei costi </w:t>
      </w:r>
      <w:r w:rsidR="00E06E8A">
        <w:rPr>
          <w:rFonts w:ascii="Century Gothic" w:hAnsi="Century Gothic"/>
          <w:sz w:val="20"/>
        </w:rPr>
        <w:t>sia</w:t>
      </w:r>
      <w:r>
        <w:rPr>
          <w:rFonts w:ascii="Century Gothic" w:hAnsi="Century Gothic"/>
          <w:sz w:val="20"/>
        </w:rPr>
        <w:t xml:space="preserve"> di sostenibilità, aiutando gli </w:t>
      </w:r>
      <w:r w:rsidRPr="00B235DD">
        <w:rPr>
          <w:rFonts w:ascii="Century Gothic" w:hAnsi="Century Gothic"/>
          <w:sz w:val="20"/>
        </w:rPr>
        <w:t>agricoltori e</w:t>
      </w:r>
      <w:r w:rsidR="00A56DCD">
        <w:rPr>
          <w:rFonts w:ascii="Century Gothic" w:hAnsi="Century Gothic"/>
          <w:sz w:val="20"/>
        </w:rPr>
        <w:t xml:space="preserve"> </w:t>
      </w:r>
      <w:r w:rsidR="005C5677" w:rsidRPr="00B235DD">
        <w:rPr>
          <w:rFonts w:ascii="Century Gothic" w:hAnsi="Century Gothic"/>
          <w:sz w:val="20"/>
        </w:rPr>
        <w:t xml:space="preserve">i contoterzisti </w:t>
      </w:r>
      <w:r w:rsidRPr="00B235DD">
        <w:rPr>
          <w:rFonts w:ascii="Century Gothic" w:hAnsi="Century Gothic"/>
          <w:sz w:val="20"/>
        </w:rPr>
        <w:t xml:space="preserve">a </w:t>
      </w:r>
      <w:r>
        <w:rPr>
          <w:rFonts w:ascii="Century Gothic" w:hAnsi="Century Gothic"/>
          <w:sz w:val="20"/>
        </w:rPr>
        <w:t xml:space="preserve">ottenere massime prestazioni dalla macchina ed evitare il compattamento del suolo, a salvaguardia dei preziosi terreni agricoli. </w:t>
      </w:r>
    </w:p>
    <w:p w14:paraId="69B55E25" w14:textId="77777777" w:rsidR="00B17A52" w:rsidRPr="00B17A52" w:rsidRDefault="00B17A52" w:rsidP="00B17A52">
      <w:pPr>
        <w:rPr>
          <w:rFonts w:ascii="Century Gothic" w:hAnsi="Century Gothic" w:cs="Clother Light"/>
          <w:sz w:val="20"/>
          <w:szCs w:val="20"/>
        </w:rPr>
      </w:pPr>
    </w:p>
    <w:p w14:paraId="098BE8C7" w14:textId="56BADD9D" w:rsidR="00925713" w:rsidRPr="006E6F09" w:rsidRDefault="00B17A52" w:rsidP="00B17A52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Ulteriori informazioni tecniche e dati sulle prestazioni saranno disponibili presso Agromek 2024, la fiera danese dedicata alle macchine agricole, che si terrà a Herning dal 26 al 29 novembre. Vredestein Tyres sarà </w:t>
      </w:r>
      <w:r w:rsidR="000638BF">
        <w:rPr>
          <w:rFonts w:ascii="Century Gothic" w:hAnsi="Century Gothic"/>
          <w:sz w:val="20"/>
        </w:rPr>
        <w:t xml:space="preserve">presente </w:t>
      </w:r>
      <w:r>
        <w:rPr>
          <w:rFonts w:ascii="Century Gothic" w:hAnsi="Century Gothic"/>
          <w:sz w:val="20"/>
        </w:rPr>
        <w:t>al padiglione F, stand 5052; SAMSON AGROLIZE A/S al padiglione G, stand 5750.</w:t>
      </w:r>
    </w:p>
    <w:p w14:paraId="28FF6AA5" w14:textId="77777777" w:rsidR="00925713" w:rsidRDefault="00925713" w:rsidP="00B17A52">
      <w:pPr>
        <w:rPr>
          <w:rFonts w:ascii="Century Gothic" w:hAnsi="Century Gothic" w:cs="Clother Light"/>
          <w:sz w:val="20"/>
          <w:szCs w:val="20"/>
        </w:rPr>
      </w:pPr>
    </w:p>
    <w:p w14:paraId="3E9974D4" w14:textId="77777777" w:rsidR="00B235DD" w:rsidRDefault="00B235DD" w:rsidP="00B17A52">
      <w:pPr>
        <w:rPr>
          <w:rFonts w:ascii="Century Gothic" w:hAnsi="Century Gothic" w:cs="Clother Light"/>
          <w:sz w:val="20"/>
          <w:szCs w:val="20"/>
        </w:rPr>
      </w:pPr>
    </w:p>
    <w:p w14:paraId="14EBF4C5" w14:textId="77777777" w:rsidR="00B235DD" w:rsidRDefault="00B235DD" w:rsidP="00B17A52">
      <w:pPr>
        <w:rPr>
          <w:rFonts w:ascii="Century Gothic" w:hAnsi="Century Gothic" w:cs="Clother Light"/>
          <w:sz w:val="20"/>
          <w:szCs w:val="20"/>
        </w:rPr>
      </w:pPr>
    </w:p>
    <w:p w14:paraId="6D5B1CF9" w14:textId="77777777" w:rsidR="00B235DD" w:rsidRPr="006E6F09" w:rsidRDefault="00B235DD" w:rsidP="00B17A52">
      <w:pPr>
        <w:rPr>
          <w:rFonts w:ascii="Century Gothic" w:hAnsi="Century Gothic" w:cs="Clother Light"/>
          <w:sz w:val="20"/>
          <w:szCs w:val="20"/>
        </w:rPr>
      </w:pPr>
    </w:p>
    <w:p w14:paraId="5B736355" w14:textId="77777777" w:rsidR="00B235DD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/>
          <w:b/>
          <w:sz w:val="20"/>
        </w:rPr>
        <w:t>Didascalie delle immagini:</w:t>
      </w:r>
    </w:p>
    <w:p w14:paraId="74B69CDA" w14:textId="77777777" w:rsidR="00B235DD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iCs/>
          <w:sz w:val="20"/>
          <w:szCs w:val="20"/>
        </w:rPr>
      </w:pPr>
    </w:p>
    <w:p w14:paraId="1CAC4365" w14:textId="0960266E" w:rsidR="00B235DD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iCs/>
          <w:sz w:val="20"/>
          <w:szCs w:val="20"/>
        </w:rPr>
      </w:pPr>
      <w:proofErr w:type="gramStart"/>
      <w:r>
        <w:rPr>
          <w:rFonts w:ascii="Century Gothic" w:hAnsi="Century Gothic"/>
          <w:b/>
          <w:bCs/>
          <w:sz w:val="20"/>
          <w:szCs w:val="20"/>
        </w:rPr>
        <w:t>01</w:t>
      </w:r>
      <w:r>
        <w:rPr>
          <w:rFonts w:ascii="Century Gothic" w:hAnsi="Century Gothic"/>
          <w:sz w:val="20"/>
          <w:szCs w:val="20"/>
        </w:rPr>
        <w:t xml:space="preserve">  </w:t>
      </w:r>
      <w:r w:rsidRPr="00B235DD">
        <w:rPr>
          <w:rFonts w:ascii="Century Gothic" w:hAnsi="Century Gothic"/>
          <w:sz w:val="20"/>
          <w:szCs w:val="20"/>
        </w:rPr>
        <w:t>Test</w:t>
      </w:r>
      <w:proofErr w:type="gramEnd"/>
      <w:r w:rsidRPr="00B235DD">
        <w:rPr>
          <w:rFonts w:ascii="Century Gothic" w:hAnsi="Century Gothic"/>
          <w:sz w:val="20"/>
          <w:szCs w:val="20"/>
        </w:rPr>
        <w:t xml:space="preserve"> sul campo Samson</w:t>
      </w:r>
      <w:r w:rsidR="00BD560A">
        <w:rPr>
          <w:rFonts w:ascii="Century Gothic" w:hAnsi="Century Gothic"/>
          <w:sz w:val="20"/>
          <w:szCs w:val="20"/>
        </w:rPr>
        <w:t xml:space="preserve"> &amp; </w:t>
      </w:r>
      <w:r w:rsidRPr="00B235DD">
        <w:rPr>
          <w:rFonts w:ascii="Century Gothic" w:hAnsi="Century Gothic"/>
          <w:sz w:val="20"/>
          <w:szCs w:val="20"/>
        </w:rPr>
        <w:t>Vredestein 2024</w:t>
      </w:r>
    </w:p>
    <w:p w14:paraId="17A23842" w14:textId="77777777" w:rsidR="00B235DD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45550927" w14:textId="5A6C621C" w:rsidR="00B235DD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iCs/>
          <w:sz w:val="20"/>
          <w:szCs w:val="20"/>
        </w:rPr>
      </w:pPr>
      <w:proofErr w:type="gramStart"/>
      <w:r>
        <w:rPr>
          <w:rFonts w:ascii="Century Gothic" w:hAnsi="Century Gothic" w:cs="Clother Light"/>
          <w:b/>
          <w:bCs/>
          <w:iCs/>
          <w:sz w:val="20"/>
          <w:szCs w:val="20"/>
        </w:rPr>
        <w:t>02</w:t>
      </w:r>
      <w:r>
        <w:rPr>
          <w:rFonts w:ascii="Century Gothic" w:hAnsi="Century Gothic" w:cs="Clother Light"/>
          <w:iCs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 xml:space="preserve"> </w:t>
      </w:r>
      <w:r w:rsidRPr="00B235DD">
        <w:rPr>
          <w:rFonts w:ascii="Century Gothic" w:hAnsi="Century Gothic"/>
          <w:sz w:val="20"/>
          <w:szCs w:val="20"/>
        </w:rPr>
        <w:t>Test</w:t>
      </w:r>
      <w:proofErr w:type="gramEnd"/>
      <w:r w:rsidRPr="00B235DD">
        <w:rPr>
          <w:rFonts w:ascii="Century Gothic" w:hAnsi="Century Gothic"/>
          <w:sz w:val="20"/>
          <w:szCs w:val="20"/>
        </w:rPr>
        <w:t xml:space="preserve"> sul campo Samson</w:t>
      </w:r>
      <w:r w:rsidR="00BD560A">
        <w:rPr>
          <w:rFonts w:ascii="Century Gothic" w:hAnsi="Century Gothic"/>
          <w:sz w:val="20"/>
          <w:szCs w:val="20"/>
        </w:rPr>
        <w:t xml:space="preserve"> &amp; </w:t>
      </w:r>
      <w:r w:rsidRPr="00B235DD">
        <w:rPr>
          <w:rFonts w:ascii="Century Gothic" w:hAnsi="Century Gothic"/>
          <w:sz w:val="20"/>
          <w:szCs w:val="20"/>
        </w:rPr>
        <w:t>Vredestein 2024</w:t>
      </w:r>
    </w:p>
    <w:p w14:paraId="6A4CFA74" w14:textId="77777777" w:rsidR="00B235DD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26311374" w14:textId="377D31DF" w:rsidR="00B235DD" w:rsidRPr="00D62AC8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iCs/>
          <w:sz w:val="20"/>
          <w:szCs w:val="20"/>
        </w:rPr>
      </w:pPr>
      <w:proofErr w:type="gramStart"/>
      <w:r>
        <w:rPr>
          <w:rFonts w:ascii="Century Gothic" w:hAnsi="Century Gothic" w:cs="Clother Light"/>
          <w:b/>
          <w:bCs/>
          <w:iCs/>
          <w:sz w:val="20"/>
          <w:szCs w:val="20"/>
        </w:rPr>
        <w:t>03</w:t>
      </w:r>
      <w:r>
        <w:rPr>
          <w:rFonts w:ascii="Century Gothic" w:hAnsi="Century Gothic" w:cs="Clother Light"/>
          <w:iCs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Vredestein</w:t>
      </w:r>
      <w:proofErr w:type="gramEnd"/>
      <w:r>
        <w:rPr>
          <w:rFonts w:ascii="Century Gothic" w:hAnsi="Century Gothic"/>
          <w:sz w:val="20"/>
          <w:szCs w:val="20"/>
        </w:rPr>
        <w:t xml:space="preserve"> Flotation Trac</w:t>
      </w:r>
      <w:r w:rsidRPr="00E24CFC">
        <w:rPr>
          <w:rFonts w:ascii="Century Gothic" w:hAnsi="Century Gothic" w:cs="Clother Light"/>
          <w:iCs/>
          <w:sz w:val="20"/>
          <w:szCs w:val="20"/>
        </w:rPr>
        <w:t xml:space="preserve"> </w:t>
      </w:r>
      <w:r>
        <w:rPr>
          <w:rFonts w:ascii="Century Gothic" w:hAnsi="Century Gothic" w:cs="Clother Light"/>
          <w:iCs/>
          <w:sz w:val="20"/>
          <w:szCs w:val="20"/>
        </w:rPr>
        <w:t>in azione</w:t>
      </w:r>
    </w:p>
    <w:p w14:paraId="43C3FE6A" w14:textId="77777777" w:rsidR="00B235DD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510407F7" w14:textId="3A0C2F57" w:rsidR="00B235DD" w:rsidRDefault="00B235DD" w:rsidP="00B235DD">
      <w:pPr>
        <w:pStyle w:val="ox-e23b717313-msonormal"/>
        <w:shd w:val="clear" w:color="auto" w:fill="FFFFFF"/>
        <w:spacing w:before="0" w:after="0"/>
        <w:rPr>
          <w:rFonts w:ascii="Century Gothic" w:hAnsi="Century Gothic" w:cs="Clother Light"/>
          <w:iCs/>
          <w:sz w:val="20"/>
          <w:szCs w:val="20"/>
        </w:rPr>
      </w:pPr>
      <w:proofErr w:type="gramStart"/>
      <w:r>
        <w:rPr>
          <w:rFonts w:ascii="Century Gothic" w:hAnsi="Century Gothic" w:cs="Clother Light"/>
          <w:b/>
          <w:bCs/>
          <w:iCs/>
          <w:sz w:val="20"/>
          <w:szCs w:val="20"/>
        </w:rPr>
        <w:t>04</w:t>
      </w:r>
      <w:r>
        <w:rPr>
          <w:rFonts w:ascii="Century Gothic" w:hAnsi="Century Gothic" w:cs="Clother Light"/>
          <w:iCs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Vredestein</w:t>
      </w:r>
      <w:proofErr w:type="gramEnd"/>
      <w:r>
        <w:rPr>
          <w:rFonts w:ascii="Century Gothic" w:hAnsi="Century Gothic"/>
          <w:sz w:val="20"/>
          <w:szCs w:val="20"/>
        </w:rPr>
        <w:t xml:space="preserve"> Flotation Trac</w:t>
      </w:r>
      <w:r w:rsidRPr="00E24CFC">
        <w:rPr>
          <w:rFonts w:ascii="Century Gothic" w:hAnsi="Century Gothic" w:cs="Clother Light"/>
          <w:iCs/>
          <w:sz w:val="20"/>
          <w:szCs w:val="20"/>
        </w:rPr>
        <w:t xml:space="preserve"> </w:t>
      </w:r>
      <w:r>
        <w:rPr>
          <w:rFonts w:ascii="Century Gothic" w:hAnsi="Century Gothic" w:cs="Clother Light"/>
          <w:iCs/>
          <w:sz w:val="20"/>
          <w:szCs w:val="20"/>
        </w:rPr>
        <w:t>in azione</w:t>
      </w:r>
    </w:p>
    <w:p w14:paraId="4F1EDF1A" w14:textId="77777777" w:rsidR="00925713" w:rsidRPr="006E6F09" w:rsidRDefault="00925713" w:rsidP="00B17A52">
      <w:pPr>
        <w:rPr>
          <w:rFonts w:ascii="Century Gothic" w:hAnsi="Century Gothic" w:cs="Clother Light"/>
          <w:sz w:val="20"/>
          <w:szCs w:val="20"/>
        </w:rPr>
      </w:pPr>
    </w:p>
    <w:bookmarkEnd w:id="0"/>
    <w:p w14:paraId="53355B7D" w14:textId="77777777" w:rsidR="00BB216A" w:rsidRDefault="00BB216A">
      <w:pPr>
        <w:rPr>
          <w:rFonts w:ascii="Century Gothic" w:hAnsi="Century Gothic" w:cs="Clother Light"/>
          <w:sz w:val="20"/>
          <w:szCs w:val="20"/>
        </w:rPr>
      </w:pPr>
    </w:p>
    <w:p w14:paraId="6C9A8EFC" w14:textId="77777777" w:rsidR="00B235DD" w:rsidRDefault="00B235DD">
      <w:pPr>
        <w:rPr>
          <w:rFonts w:ascii="Century Gothic" w:hAnsi="Century Gothic" w:cs="Clother Light"/>
          <w:sz w:val="20"/>
          <w:szCs w:val="20"/>
        </w:rPr>
      </w:pPr>
    </w:p>
    <w:p w14:paraId="53BC9A89" w14:textId="77777777" w:rsidR="00B235DD" w:rsidRDefault="00B235DD">
      <w:pPr>
        <w:rPr>
          <w:rFonts w:ascii="Century Gothic" w:hAnsi="Century Gothic" w:cs="Clother Light"/>
          <w:sz w:val="20"/>
          <w:szCs w:val="20"/>
        </w:rPr>
      </w:pPr>
    </w:p>
    <w:p w14:paraId="2BF4BF4B" w14:textId="77777777" w:rsidR="00387BC1" w:rsidRDefault="00387BC1" w:rsidP="00387BC1">
      <w:pPr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Per maggiori informazioni contattare:</w:t>
      </w:r>
    </w:p>
    <w:p w14:paraId="675B6FD1" w14:textId="77777777" w:rsidR="00387BC1" w:rsidRDefault="00387BC1" w:rsidP="00387BC1">
      <w:pPr>
        <w:rPr>
          <w:rFonts w:ascii="Century Gothic" w:eastAsia="Century Gothic" w:hAnsi="Century Gothic" w:cs="Century Gothic"/>
          <w:sz w:val="16"/>
          <w:szCs w:val="16"/>
        </w:rPr>
      </w:pPr>
      <w:proofErr w:type="spellStart"/>
      <w:r>
        <w:rPr>
          <w:rFonts w:ascii="Century Gothic" w:hAnsi="Century Gothic"/>
          <w:sz w:val="16"/>
        </w:rPr>
        <w:t>Robbert</w:t>
      </w:r>
      <w:proofErr w:type="spellEnd"/>
      <w:r>
        <w:rPr>
          <w:rFonts w:ascii="Century Gothic" w:hAnsi="Century Gothic"/>
          <w:sz w:val="16"/>
        </w:rPr>
        <w:t xml:space="preserve"> </w:t>
      </w:r>
      <w:proofErr w:type="spellStart"/>
      <w:r>
        <w:rPr>
          <w:rFonts w:ascii="Century Gothic" w:hAnsi="Century Gothic"/>
          <w:sz w:val="16"/>
        </w:rPr>
        <w:t>Holtkamp</w:t>
      </w:r>
      <w:proofErr w:type="spellEnd"/>
      <w:r>
        <w:rPr>
          <w:rFonts w:ascii="Century Gothic" w:hAnsi="Century Gothic"/>
          <w:sz w:val="16"/>
        </w:rPr>
        <w:t xml:space="preserve"> | Marketing Communications OHT Europe </w:t>
      </w:r>
    </w:p>
    <w:p w14:paraId="39DDA162" w14:textId="77777777" w:rsidR="00387BC1" w:rsidRPr="00387BC1" w:rsidRDefault="00387BC1" w:rsidP="00387BC1">
      <w:pPr>
        <w:rPr>
          <w:rFonts w:ascii="Century Gothic" w:eastAsia="Century Gothic" w:hAnsi="Century Gothic" w:cs="Century Gothic"/>
          <w:sz w:val="16"/>
          <w:szCs w:val="16"/>
          <w:lang w:val="en-US"/>
        </w:rPr>
      </w:pPr>
      <w:r w:rsidRPr="00387BC1">
        <w:rPr>
          <w:rFonts w:ascii="Century Gothic" w:hAnsi="Century Gothic"/>
          <w:sz w:val="16"/>
          <w:lang w:val="en-US"/>
        </w:rPr>
        <w:t>Tel.: +31 53 488 8187</w:t>
      </w:r>
    </w:p>
    <w:p w14:paraId="0684FB21" w14:textId="77777777" w:rsidR="00387BC1" w:rsidRPr="00387BC1" w:rsidRDefault="00387BC1" w:rsidP="00387BC1">
      <w:pPr>
        <w:rPr>
          <w:rFonts w:ascii="Century Gothic" w:eastAsia="Century Gothic" w:hAnsi="Century Gothic" w:cs="Century Gothic"/>
          <w:sz w:val="16"/>
          <w:szCs w:val="16"/>
          <w:lang w:val="en-US"/>
        </w:rPr>
      </w:pPr>
      <w:r w:rsidRPr="00387BC1">
        <w:rPr>
          <w:rFonts w:ascii="Century Gothic" w:hAnsi="Century Gothic"/>
          <w:sz w:val="16"/>
          <w:lang w:val="en-US"/>
        </w:rPr>
        <w:t>Cell.: +31 6 1507 6475</w:t>
      </w:r>
    </w:p>
    <w:p w14:paraId="36A2E240" w14:textId="77777777" w:rsidR="00387BC1" w:rsidRPr="00387BC1" w:rsidRDefault="00387BC1" w:rsidP="00387BC1">
      <w:pPr>
        <w:rPr>
          <w:lang w:val="en-US"/>
        </w:rPr>
      </w:pPr>
      <w:r w:rsidRPr="00387BC1">
        <w:rPr>
          <w:rFonts w:ascii="Century Gothic" w:hAnsi="Century Gothic"/>
          <w:sz w:val="16"/>
          <w:szCs w:val="16"/>
          <w:lang w:val="en-US"/>
        </w:rPr>
        <w:t>E-Mail: robbert.holtkamp@apollotyres.com</w:t>
      </w:r>
    </w:p>
    <w:p w14:paraId="21CE931C" w14:textId="77777777" w:rsidR="00387BC1" w:rsidRPr="00387BC1" w:rsidRDefault="00387BC1" w:rsidP="00387BC1">
      <w:pPr>
        <w:rPr>
          <w:rFonts w:ascii="Century Gothic" w:eastAsia="Century Gothic" w:hAnsi="Century Gothic" w:cs="Century Gothic"/>
          <w:sz w:val="16"/>
          <w:szCs w:val="16"/>
          <w:lang w:val="en-US"/>
        </w:rPr>
      </w:pPr>
      <w:r w:rsidRPr="00387BC1">
        <w:rPr>
          <w:rFonts w:ascii="Century Gothic" w:hAnsi="Century Gothic"/>
          <w:sz w:val="16"/>
          <w:lang w:val="en-US"/>
        </w:rPr>
        <w:t xml:space="preserve">Sito Web: </w:t>
      </w:r>
      <w:proofErr w:type="spellStart"/>
      <w:proofErr w:type="gramStart"/>
      <w:r w:rsidRPr="00387BC1">
        <w:rPr>
          <w:rFonts w:ascii="Century Gothic" w:hAnsi="Century Gothic"/>
          <w:sz w:val="16"/>
          <w:lang w:val="en-US"/>
        </w:rPr>
        <w:t>apollovredestein.press</w:t>
      </w:r>
      <w:proofErr w:type="spellEnd"/>
      <w:proofErr w:type="gramEnd"/>
    </w:p>
    <w:p w14:paraId="0CEE5531" w14:textId="77777777" w:rsidR="00387BC1" w:rsidRPr="00387BC1" w:rsidRDefault="00387BC1" w:rsidP="00387BC1">
      <w:pPr>
        <w:rPr>
          <w:rFonts w:ascii="Century Gothic" w:hAnsi="Century Gothic" w:cs="Clother Light"/>
          <w:sz w:val="16"/>
          <w:szCs w:val="16"/>
          <w:lang w:val="en-US"/>
        </w:rPr>
      </w:pPr>
    </w:p>
    <w:p w14:paraId="2E46FF3C" w14:textId="77777777" w:rsidR="00387BC1" w:rsidRPr="00680850" w:rsidRDefault="00387BC1" w:rsidP="00387BC1">
      <w:pPr>
        <w:pStyle w:val="BasicParagraph"/>
        <w:tabs>
          <w:tab w:val="left" w:pos="284"/>
        </w:tabs>
        <w:spacing w:line="240" w:lineRule="auto"/>
        <w:rPr>
          <w:rFonts w:ascii="Century Gothic" w:hAnsi="Century Gothic"/>
          <w:b/>
          <w:color w:val="5C2D90"/>
          <w:sz w:val="16"/>
        </w:rPr>
      </w:pPr>
      <w:r w:rsidRPr="00680850">
        <w:rPr>
          <w:rFonts w:ascii="Century Gothic" w:hAnsi="Century Gothic"/>
          <w:b/>
          <w:color w:val="5C2D90"/>
          <w:sz w:val="16"/>
        </w:rPr>
        <w:t>Ufficio stampa Italia</w:t>
      </w:r>
    </w:p>
    <w:p w14:paraId="74BA70BE" w14:textId="77777777" w:rsidR="00387BC1" w:rsidRPr="008635F5" w:rsidRDefault="00387BC1" w:rsidP="00387BC1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8635F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2F8421F6" w14:textId="77777777" w:rsidR="00387BC1" w:rsidRPr="008635F5" w:rsidRDefault="00387BC1" w:rsidP="00387BC1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7B17946F" w14:textId="77777777" w:rsidR="00387BC1" w:rsidRPr="008635F5" w:rsidRDefault="00387BC1" w:rsidP="00387BC1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52A65DC2" w14:textId="77777777" w:rsidR="00387BC1" w:rsidRPr="008635F5" w:rsidRDefault="00387BC1" w:rsidP="00387BC1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  <w:lang w:val="it-IT"/>
        </w:rPr>
      </w:pPr>
      <w:hyperlink r:id="rId11" w:history="1">
        <w:r w:rsidRPr="008635F5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apollotyres@anicecommunication.com</w:t>
        </w:r>
      </w:hyperlink>
    </w:p>
    <w:p w14:paraId="5367C9FF" w14:textId="77777777" w:rsidR="00387BC1" w:rsidRPr="008635F5" w:rsidRDefault="00387BC1" w:rsidP="00387BC1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  <w:lang w:val="it-IT"/>
        </w:rPr>
      </w:pPr>
    </w:p>
    <w:p w14:paraId="4FBD1267" w14:textId="77777777" w:rsidR="00387BC1" w:rsidRPr="008635F5" w:rsidRDefault="00387BC1" w:rsidP="00387BC1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Roberto Beltramolli | +39 335 6068559</w:t>
      </w:r>
    </w:p>
    <w:p w14:paraId="2377E04C" w14:textId="77777777" w:rsidR="00387BC1" w:rsidRPr="008635F5" w:rsidRDefault="00387BC1" w:rsidP="00387BC1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Patrizia Tontini | +39 335 6068557</w:t>
      </w:r>
    </w:p>
    <w:p w14:paraId="48E48625" w14:textId="77777777" w:rsidR="00387BC1" w:rsidRPr="008635F5" w:rsidRDefault="00387BC1" w:rsidP="00387BC1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8635F5">
        <w:rPr>
          <w:rFonts w:ascii="Century Gothic" w:hAnsi="Century Gothic"/>
          <w:bCs/>
          <w:sz w:val="16"/>
          <w:szCs w:val="16"/>
          <w:lang w:val="it-IT"/>
        </w:rPr>
        <w:t>Paola Maina | +39 347 6713167</w:t>
      </w:r>
    </w:p>
    <w:p w14:paraId="01FB1EAC" w14:textId="77777777" w:rsidR="00387BC1" w:rsidRPr="008635F5" w:rsidRDefault="00387BC1" w:rsidP="00387BC1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</w:p>
    <w:p w14:paraId="7CA211C2" w14:textId="77777777" w:rsidR="00B02CD8" w:rsidRPr="00B235DD" w:rsidRDefault="00B02CD8">
      <w:pPr>
        <w:rPr>
          <w:rFonts w:ascii="Century Gothic" w:hAnsi="Century Gothic" w:cs="Clother Light"/>
          <w:sz w:val="16"/>
          <w:szCs w:val="16"/>
        </w:rPr>
      </w:pPr>
    </w:p>
    <w:p w14:paraId="499B55B1" w14:textId="77777777" w:rsidR="00DC0B74" w:rsidRPr="00B235DD" w:rsidRDefault="00DC0B74">
      <w:pPr>
        <w:rPr>
          <w:rFonts w:ascii="Century Gothic" w:hAnsi="Century Gothic" w:cs="Clother Light"/>
          <w:sz w:val="16"/>
          <w:szCs w:val="16"/>
        </w:rPr>
      </w:pPr>
    </w:p>
    <w:p w14:paraId="7090284C" w14:textId="77777777" w:rsidR="00B02CD8" w:rsidRPr="00AB3D0E" w:rsidRDefault="00FF529F">
      <w:pPr>
        <w:pStyle w:val="BasicParagraph"/>
        <w:tabs>
          <w:tab w:val="left" w:pos="284"/>
        </w:tabs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3AA74613" w14:textId="22EFFC67" w:rsidR="00E1305C" w:rsidRPr="00387BC1" w:rsidRDefault="00387BC1" w:rsidP="00387BC1"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 xml:space="preserve">Apollo </w:t>
      </w:r>
      <w:proofErr w:type="spellStart"/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>Tyres</w:t>
      </w:r>
      <w:proofErr w:type="spellEnd"/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 xml:space="preserve"> Ltd è un produttore internazionale di pneumatici ed è il marchio leader di pneumatici in India. L'azienda dispone di diversi stabilimenti di produzione in India, di uno stabilimento nei Paesi Bassi e di uno in Ungheria. Apollo </w:t>
      </w:r>
      <w:proofErr w:type="spellStart"/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>Tyres</w:t>
      </w:r>
      <w:proofErr w:type="spellEnd"/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 xml:space="preserve"> Ltd commercializza i suoi prodotti sotto i due marchi globali Apollo e </w:t>
      </w:r>
      <w:proofErr w:type="spellStart"/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>Vredestein</w:t>
      </w:r>
      <w:proofErr w:type="spellEnd"/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 xml:space="preserve"> e i relativi prodotti sono disponibili in oltre </w:t>
      </w:r>
      <w:proofErr w:type="gramStart"/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>100</w:t>
      </w:r>
      <w:proofErr w:type="gramEnd"/>
      <w:r w:rsidRPr="00D97ABD">
        <w:rPr>
          <w:rFonts w:ascii="Century Gothic" w:eastAsia="MS Mincho" w:hAnsi="Century Gothic" w:cs="Times-Roman"/>
          <w:color w:val="000000"/>
          <w:sz w:val="16"/>
          <w:szCs w:val="24"/>
        </w:rPr>
        <w:t xml:space="preserve"> paesi attraverso una vasta rete di rivenditori del marchio, esclusivi e multiprodotto.</w:t>
      </w:r>
    </w:p>
    <w:p w14:paraId="61E352D7" w14:textId="77777777" w:rsidR="00E1305C" w:rsidRPr="005C5677" w:rsidRDefault="00E1305C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</w:p>
    <w:p w14:paraId="719C6E32" w14:textId="77777777" w:rsidR="00E1305C" w:rsidRPr="005C5677" w:rsidRDefault="00E1305C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</w:p>
    <w:p w14:paraId="20D24D17" w14:textId="77777777" w:rsidR="00E1305C" w:rsidRPr="005C5677" w:rsidRDefault="00E1305C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</w:p>
    <w:p w14:paraId="391DD48D" w14:textId="44631713" w:rsidR="00B02CD8" w:rsidRDefault="00B02CD8"/>
    <w:sectPr w:rsidR="00B02CD8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F38D2" w14:textId="77777777" w:rsidR="0067683F" w:rsidRDefault="0067683F">
      <w:r>
        <w:separator/>
      </w:r>
    </w:p>
  </w:endnote>
  <w:endnote w:type="continuationSeparator" w:id="0">
    <w:p w14:paraId="1986793F" w14:textId="77777777" w:rsidR="0067683F" w:rsidRDefault="0067683F">
      <w:r>
        <w:continuationSeparator/>
      </w:r>
    </w:p>
  </w:endnote>
  <w:endnote w:type="continuationNotice" w:id="1">
    <w:p w14:paraId="584A69B6" w14:textId="77777777" w:rsidR="0067683F" w:rsidRDefault="00676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-Roman"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78C88" w14:textId="77777777" w:rsidR="00FF529F" w:rsidRDefault="00FF529F">
    <w:pPr>
      <w:pStyle w:val="Pidipagina"/>
    </w:pPr>
    <w:r>
      <w:rPr>
        <w:noProof/>
      </w:rPr>
      <w:drawing>
        <wp:inline distT="0" distB="0" distL="0" distR="0" wp14:anchorId="1FFCD156" wp14:editId="40F78CA2">
          <wp:extent cx="2192786" cy="476420"/>
          <wp:effectExtent l="0" t="0" r="0" b="0"/>
          <wp:docPr id="1053930846" name="Picture 10" descr="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4956" t="12220" b="11390"/>
                  <a:stretch>
                    <a:fillRect/>
                  </a:stretch>
                </pic:blipFill>
                <pic:spPr>
                  <a:xfrm>
                    <a:off x="0" y="0"/>
                    <a:ext cx="2192786" cy="47642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7473DAF" w14:textId="77777777" w:rsidR="00FF529F" w:rsidRDefault="00FF529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FF8DC" w14:textId="77777777" w:rsidR="0067683F" w:rsidRDefault="0067683F">
      <w:r>
        <w:rPr>
          <w:color w:val="000000"/>
        </w:rPr>
        <w:separator/>
      </w:r>
    </w:p>
  </w:footnote>
  <w:footnote w:type="continuationSeparator" w:id="0">
    <w:p w14:paraId="2F95F0FF" w14:textId="77777777" w:rsidR="0067683F" w:rsidRDefault="0067683F">
      <w:r>
        <w:continuationSeparator/>
      </w:r>
    </w:p>
  </w:footnote>
  <w:footnote w:type="continuationNotice" w:id="1">
    <w:p w14:paraId="2B3E1050" w14:textId="77777777" w:rsidR="0067683F" w:rsidRDefault="00676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FC075" w14:textId="77777777" w:rsidR="00FF529F" w:rsidRDefault="00FF529F">
    <w:pPr>
      <w:pStyle w:val="Intestazione"/>
      <w:ind w:left="-284"/>
    </w:pPr>
    <w:r>
      <w:rPr>
        <w:noProof/>
      </w:rPr>
      <w:drawing>
        <wp:inline distT="0" distB="0" distL="0" distR="0" wp14:anchorId="2D939FDA" wp14:editId="1368366E">
          <wp:extent cx="1967322" cy="719998"/>
          <wp:effectExtent l="0" t="0" r="0" b="3902"/>
          <wp:docPr id="1382234465" name="Picture 9" descr="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12247" t="15884" r="13498" b="21463"/>
                  <a:stretch>
                    <a:fillRect/>
                  </a:stretch>
                </pic:blipFill>
                <pic:spPr>
                  <a:xfrm>
                    <a:off x="0" y="0"/>
                    <a:ext cx="1967322" cy="71999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2BE71289" w14:textId="77777777" w:rsidR="00FF529F" w:rsidRDefault="00FF529F">
    <w:pPr>
      <w:pStyle w:val="Intestazione"/>
      <w:ind w:left="-284"/>
    </w:pPr>
  </w:p>
  <w:p w14:paraId="5ABED6ED" w14:textId="77777777" w:rsidR="00FF529F" w:rsidRDefault="00FF529F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DD0880"/>
    <w:multiLevelType w:val="hybridMultilevel"/>
    <w:tmpl w:val="6A6407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E90111"/>
    <w:multiLevelType w:val="multilevel"/>
    <w:tmpl w:val="5118974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CB16ACA"/>
    <w:multiLevelType w:val="hybridMultilevel"/>
    <w:tmpl w:val="1E805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8994880">
    <w:abstractNumId w:val="1"/>
  </w:num>
  <w:num w:numId="2" w16cid:durableId="605312771">
    <w:abstractNumId w:val="0"/>
  </w:num>
  <w:num w:numId="3" w16cid:durableId="584533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CD8"/>
    <w:rsid w:val="00002F58"/>
    <w:rsid w:val="00014253"/>
    <w:rsid w:val="00020D19"/>
    <w:rsid w:val="000213D3"/>
    <w:rsid w:val="00022AFD"/>
    <w:rsid w:val="00026139"/>
    <w:rsid w:val="000301DB"/>
    <w:rsid w:val="00031C15"/>
    <w:rsid w:val="000324F2"/>
    <w:rsid w:val="00044650"/>
    <w:rsid w:val="00056D03"/>
    <w:rsid w:val="000638BF"/>
    <w:rsid w:val="0007642C"/>
    <w:rsid w:val="0009472A"/>
    <w:rsid w:val="00095DD8"/>
    <w:rsid w:val="000A6BC2"/>
    <w:rsid w:val="000B6DBE"/>
    <w:rsid w:val="000E14EE"/>
    <w:rsid w:val="000E157C"/>
    <w:rsid w:val="000E660E"/>
    <w:rsid w:val="000F6A0A"/>
    <w:rsid w:val="00116C0D"/>
    <w:rsid w:val="001347B7"/>
    <w:rsid w:val="00140A95"/>
    <w:rsid w:val="00152EF4"/>
    <w:rsid w:val="001716A9"/>
    <w:rsid w:val="00191F75"/>
    <w:rsid w:val="001B057D"/>
    <w:rsid w:val="001C297F"/>
    <w:rsid w:val="001D173A"/>
    <w:rsid w:val="001D7712"/>
    <w:rsid w:val="001E3EFE"/>
    <w:rsid w:val="001E45CF"/>
    <w:rsid w:val="001F0F63"/>
    <w:rsid w:val="001F3F48"/>
    <w:rsid w:val="001F77E6"/>
    <w:rsid w:val="002021B2"/>
    <w:rsid w:val="00215408"/>
    <w:rsid w:val="002376D7"/>
    <w:rsid w:val="002400EB"/>
    <w:rsid w:val="002406BC"/>
    <w:rsid w:val="00240E65"/>
    <w:rsid w:val="00245A48"/>
    <w:rsid w:val="00262EE4"/>
    <w:rsid w:val="002728FB"/>
    <w:rsid w:val="0028060A"/>
    <w:rsid w:val="002965EA"/>
    <w:rsid w:val="002A04CD"/>
    <w:rsid w:val="002C44C2"/>
    <w:rsid w:val="002D4B47"/>
    <w:rsid w:val="002E0200"/>
    <w:rsid w:val="002E5B66"/>
    <w:rsid w:val="002E63D8"/>
    <w:rsid w:val="002E7C87"/>
    <w:rsid w:val="002F146F"/>
    <w:rsid w:val="002F33C9"/>
    <w:rsid w:val="00301D82"/>
    <w:rsid w:val="00304300"/>
    <w:rsid w:val="00310E53"/>
    <w:rsid w:val="00312818"/>
    <w:rsid w:val="00320999"/>
    <w:rsid w:val="00321E14"/>
    <w:rsid w:val="00334382"/>
    <w:rsid w:val="00341517"/>
    <w:rsid w:val="0035128B"/>
    <w:rsid w:val="00387BC1"/>
    <w:rsid w:val="0039501A"/>
    <w:rsid w:val="003B11CE"/>
    <w:rsid w:val="003C45BE"/>
    <w:rsid w:val="003D5288"/>
    <w:rsid w:val="003F33EA"/>
    <w:rsid w:val="003F5BFA"/>
    <w:rsid w:val="003F5BFD"/>
    <w:rsid w:val="003F61F7"/>
    <w:rsid w:val="004005A5"/>
    <w:rsid w:val="004079CF"/>
    <w:rsid w:val="0041010F"/>
    <w:rsid w:val="00420C44"/>
    <w:rsid w:val="00421E59"/>
    <w:rsid w:val="00443766"/>
    <w:rsid w:val="00451ADD"/>
    <w:rsid w:val="00483DDA"/>
    <w:rsid w:val="00495DD7"/>
    <w:rsid w:val="004B220E"/>
    <w:rsid w:val="004B3698"/>
    <w:rsid w:val="004F787D"/>
    <w:rsid w:val="00525E22"/>
    <w:rsid w:val="00540CB6"/>
    <w:rsid w:val="00540F8B"/>
    <w:rsid w:val="00546F0F"/>
    <w:rsid w:val="005509D5"/>
    <w:rsid w:val="005733E7"/>
    <w:rsid w:val="00574FF8"/>
    <w:rsid w:val="00592A1D"/>
    <w:rsid w:val="005A092C"/>
    <w:rsid w:val="005A2F86"/>
    <w:rsid w:val="005A48D6"/>
    <w:rsid w:val="005A4CFC"/>
    <w:rsid w:val="005C1381"/>
    <w:rsid w:val="005C5677"/>
    <w:rsid w:val="005D362D"/>
    <w:rsid w:val="005D5725"/>
    <w:rsid w:val="005D5977"/>
    <w:rsid w:val="006064E6"/>
    <w:rsid w:val="0060788A"/>
    <w:rsid w:val="00607EE8"/>
    <w:rsid w:val="00611214"/>
    <w:rsid w:val="00624D65"/>
    <w:rsid w:val="006272E8"/>
    <w:rsid w:val="00627CD7"/>
    <w:rsid w:val="00630F18"/>
    <w:rsid w:val="00632E25"/>
    <w:rsid w:val="00641911"/>
    <w:rsid w:val="00646879"/>
    <w:rsid w:val="00651643"/>
    <w:rsid w:val="00662B30"/>
    <w:rsid w:val="0067683F"/>
    <w:rsid w:val="00684181"/>
    <w:rsid w:val="006927CF"/>
    <w:rsid w:val="00695B3D"/>
    <w:rsid w:val="006A1360"/>
    <w:rsid w:val="006A22FA"/>
    <w:rsid w:val="006D0ACA"/>
    <w:rsid w:val="006E53F9"/>
    <w:rsid w:val="006E6F09"/>
    <w:rsid w:val="00720A01"/>
    <w:rsid w:val="00723397"/>
    <w:rsid w:val="00747221"/>
    <w:rsid w:val="0075472C"/>
    <w:rsid w:val="00757BEB"/>
    <w:rsid w:val="00760333"/>
    <w:rsid w:val="0077080A"/>
    <w:rsid w:val="00794B0B"/>
    <w:rsid w:val="007C508C"/>
    <w:rsid w:val="007C7867"/>
    <w:rsid w:val="007D22E8"/>
    <w:rsid w:val="007E63B3"/>
    <w:rsid w:val="007E7E0D"/>
    <w:rsid w:val="007F3F48"/>
    <w:rsid w:val="0083143D"/>
    <w:rsid w:val="00833B5B"/>
    <w:rsid w:val="0083404B"/>
    <w:rsid w:val="00837399"/>
    <w:rsid w:val="00840B2C"/>
    <w:rsid w:val="00844752"/>
    <w:rsid w:val="00852F33"/>
    <w:rsid w:val="00866EF3"/>
    <w:rsid w:val="00867350"/>
    <w:rsid w:val="00887972"/>
    <w:rsid w:val="00893FDB"/>
    <w:rsid w:val="00895C02"/>
    <w:rsid w:val="008A5F53"/>
    <w:rsid w:val="008D10FA"/>
    <w:rsid w:val="008D52FF"/>
    <w:rsid w:val="008E5793"/>
    <w:rsid w:val="008F0877"/>
    <w:rsid w:val="008F1491"/>
    <w:rsid w:val="008F2B9B"/>
    <w:rsid w:val="0091053B"/>
    <w:rsid w:val="00925713"/>
    <w:rsid w:val="009268B4"/>
    <w:rsid w:val="0093374A"/>
    <w:rsid w:val="00935657"/>
    <w:rsid w:val="009401F3"/>
    <w:rsid w:val="00963371"/>
    <w:rsid w:val="009633B1"/>
    <w:rsid w:val="00963FC5"/>
    <w:rsid w:val="009730C2"/>
    <w:rsid w:val="00992A0E"/>
    <w:rsid w:val="0099387B"/>
    <w:rsid w:val="00995036"/>
    <w:rsid w:val="009A7540"/>
    <w:rsid w:val="009B3760"/>
    <w:rsid w:val="009C1AE1"/>
    <w:rsid w:val="009D24F2"/>
    <w:rsid w:val="009E634A"/>
    <w:rsid w:val="009E64E2"/>
    <w:rsid w:val="00A1637A"/>
    <w:rsid w:val="00A21A0A"/>
    <w:rsid w:val="00A24ED0"/>
    <w:rsid w:val="00A31483"/>
    <w:rsid w:val="00A3513D"/>
    <w:rsid w:val="00A41048"/>
    <w:rsid w:val="00A50082"/>
    <w:rsid w:val="00A56DCD"/>
    <w:rsid w:val="00A61749"/>
    <w:rsid w:val="00A625FC"/>
    <w:rsid w:val="00A67388"/>
    <w:rsid w:val="00A77B20"/>
    <w:rsid w:val="00A8147D"/>
    <w:rsid w:val="00A869D9"/>
    <w:rsid w:val="00A9283A"/>
    <w:rsid w:val="00A94BA4"/>
    <w:rsid w:val="00A95426"/>
    <w:rsid w:val="00AA2B39"/>
    <w:rsid w:val="00AB3D0E"/>
    <w:rsid w:val="00AD7F46"/>
    <w:rsid w:val="00AE0BF1"/>
    <w:rsid w:val="00AE7A72"/>
    <w:rsid w:val="00AF2C05"/>
    <w:rsid w:val="00B01184"/>
    <w:rsid w:val="00B02CD8"/>
    <w:rsid w:val="00B03C95"/>
    <w:rsid w:val="00B04505"/>
    <w:rsid w:val="00B17A52"/>
    <w:rsid w:val="00B214C4"/>
    <w:rsid w:val="00B235DD"/>
    <w:rsid w:val="00B278FA"/>
    <w:rsid w:val="00B4082C"/>
    <w:rsid w:val="00B43A02"/>
    <w:rsid w:val="00B5260E"/>
    <w:rsid w:val="00B60EDC"/>
    <w:rsid w:val="00B67FD3"/>
    <w:rsid w:val="00B84D1C"/>
    <w:rsid w:val="00B91FE4"/>
    <w:rsid w:val="00B93BC9"/>
    <w:rsid w:val="00BA4E54"/>
    <w:rsid w:val="00BB216A"/>
    <w:rsid w:val="00BC1D86"/>
    <w:rsid w:val="00BD2254"/>
    <w:rsid w:val="00BD366D"/>
    <w:rsid w:val="00BD560A"/>
    <w:rsid w:val="00BE123F"/>
    <w:rsid w:val="00BE6126"/>
    <w:rsid w:val="00BF798C"/>
    <w:rsid w:val="00C1246A"/>
    <w:rsid w:val="00C24EC6"/>
    <w:rsid w:val="00C3033E"/>
    <w:rsid w:val="00C34359"/>
    <w:rsid w:val="00C354A0"/>
    <w:rsid w:val="00C90353"/>
    <w:rsid w:val="00C94E65"/>
    <w:rsid w:val="00CC3275"/>
    <w:rsid w:val="00D0520E"/>
    <w:rsid w:val="00D132AF"/>
    <w:rsid w:val="00D17B41"/>
    <w:rsid w:val="00D63766"/>
    <w:rsid w:val="00D648D4"/>
    <w:rsid w:val="00D72CBB"/>
    <w:rsid w:val="00D7305F"/>
    <w:rsid w:val="00D7482D"/>
    <w:rsid w:val="00D86109"/>
    <w:rsid w:val="00DB0781"/>
    <w:rsid w:val="00DB53A2"/>
    <w:rsid w:val="00DC0B74"/>
    <w:rsid w:val="00DD03BF"/>
    <w:rsid w:val="00E06E8A"/>
    <w:rsid w:val="00E10CF9"/>
    <w:rsid w:val="00E1305C"/>
    <w:rsid w:val="00E21CCE"/>
    <w:rsid w:val="00E225DA"/>
    <w:rsid w:val="00E23712"/>
    <w:rsid w:val="00E41F44"/>
    <w:rsid w:val="00E4457D"/>
    <w:rsid w:val="00E5399A"/>
    <w:rsid w:val="00E6622D"/>
    <w:rsid w:val="00E700BD"/>
    <w:rsid w:val="00E76B99"/>
    <w:rsid w:val="00E76F02"/>
    <w:rsid w:val="00E772EB"/>
    <w:rsid w:val="00E80E37"/>
    <w:rsid w:val="00E82DDE"/>
    <w:rsid w:val="00EC1B9E"/>
    <w:rsid w:val="00ED0E7A"/>
    <w:rsid w:val="00EE5F42"/>
    <w:rsid w:val="00EF5AE4"/>
    <w:rsid w:val="00F022CD"/>
    <w:rsid w:val="00F133C1"/>
    <w:rsid w:val="00F20925"/>
    <w:rsid w:val="00F2536F"/>
    <w:rsid w:val="00F320E9"/>
    <w:rsid w:val="00F649D7"/>
    <w:rsid w:val="00F72B8E"/>
    <w:rsid w:val="00F75870"/>
    <w:rsid w:val="00F903F6"/>
    <w:rsid w:val="00F91919"/>
    <w:rsid w:val="00F92AEA"/>
    <w:rsid w:val="00FA787F"/>
    <w:rsid w:val="00FB7A9D"/>
    <w:rsid w:val="00FC097D"/>
    <w:rsid w:val="00FC0EC1"/>
    <w:rsid w:val="00FC2C15"/>
    <w:rsid w:val="00FE002F"/>
    <w:rsid w:val="00FF1062"/>
    <w:rsid w:val="00FF127F"/>
    <w:rsid w:val="00FF4D43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D0955"/>
  <w15:docId w15:val="{03D0A58E-1D56-4932-B556-5F72D1559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Arial"/>
        <w:kern w:val="3"/>
        <w:sz w:val="24"/>
        <w:szCs w:val="24"/>
        <w:lang w:val="it-I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 w:line="240" w:lineRule="auto"/>
    </w:pPr>
    <w:rPr>
      <w:kern w:val="0"/>
      <w:sz w:val="22"/>
      <w:szCs w:val="22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40"/>
      <w:outlineLvl w:val="5"/>
    </w:pPr>
    <w:rPr>
      <w:rFonts w:eastAsia="Times New Roman" w:cs="Times New Roman"/>
      <w:i/>
      <w:iCs/>
      <w:color w:val="595959"/>
    </w:rPr>
  </w:style>
  <w:style w:type="paragraph" w:styleId="Titolo7">
    <w:name w:val="heading 7"/>
    <w:basedOn w:val="Normale"/>
    <w:next w:val="Normale"/>
    <w:pPr>
      <w:keepNext/>
      <w:keepLines/>
      <w:spacing w:before="40"/>
      <w:outlineLvl w:val="6"/>
    </w:pPr>
    <w:rPr>
      <w:rFonts w:eastAsia="Times New Roman" w:cs="Times New Roman"/>
      <w:color w:val="595959"/>
    </w:rPr>
  </w:style>
  <w:style w:type="paragraph" w:styleId="Titolo8">
    <w:name w:val="heading 8"/>
    <w:basedOn w:val="Normale"/>
    <w:next w:val="Normale"/>
    <w:pPr>
      <w:keepNext/>
      <w:keepLines/>
      <w:outlineLvl w:val="7"/>
    </w:pPr>
    <w:rPr>
      <w:rFonts w:eastAsia="Times New Roman" w:cs="Times New Roman"/>
      <w:i/>
      <w:iCs/>
      <w:color w:val="272727"/>
    </w:rPr>
  </w:style>
  <w:style w:type="paragraph" w:styleId="Titolo9">
    <w:name w:val="heading 9"/>
    <w:basedOn w:val="Normale"/>
    <w:next w:val="Normale"/>
    <w:pPr>
      <w:keepNext/>
      <w:keepLines/>
      <w:outlineLvl w:val="8"/>
    </w:pPr>
    <w:rPr>
      <w:rFonts w:eastAsia="Times New Roman" w:cs="Times New Roman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1Char">
    <w:name w:val="Heading 1 Char"/>
    <w:basedOn w:val="Carpredefinitoparagrafo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Carpredefinitoparagrafo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Carpredefinitoparagrafo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basedOn w:val="Carpredefinitoparagrafo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basedOn w:val="Carpredefinitoparagrafo"/>
    <w:rPr>
      <w:rFonts w:eastAsia="Times New Roman" w:cs="Times New Roman"/>
      <w:color w:val="0F4761"/>
    </w:rPr>
  </w:style>
  <w:style w:type="character" w:customStyle="1" w:styleId="Heading6Char">
    <w:name w:val="Heading 6 Char"/>
    <w:basedOn w:val="Carpredefinitoparagrafo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Carpredefinitoparagrafo"/>
    <w:rPr>
      <w:rFonts w:eastAsia="Times New Roman" w:cs="Times New Roman"/>
      <w:color w:val="595959"/>
    </w:rPr>
  </w:style>
  <w:style w:type="character" w:customStyle="1" w:styleId="Heading8Char">
    <w:name w:val="Heading 8 Char"/>
    <w:basedOn w:val="Carpredefinitoparagrafo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Carpredefinitoparagrafo"/>
    <w:rPr>
      <w:rFonts w:eastAsia="Times New Roman" w:cs="Times New Roman"/>
      <w:color w:val="272727"/>
    </w:rPr>
  </w:style>
  <w:style w:type="paragraph" w:styleId="Titolo">
    <w:name w:val="Title"/>
    <w:basedOn w:val="Normale"/>
    <w:next w:val="Normale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character" w:customStyle="1" w:styleId="TitleChar">
    <w:name w:val="Title Char"/>
    <w:basedOn w:val="Carpredefinitoparagrafo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Sottotitolo">
    <w:name w:val="Subtitle"/>
    <w:basedOn w:val="Normale"/>
    <w:next w:val="Normale"/>
    <w:uiPriority w:val="11"/>
    <w:qFormat/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Carpredefinitoparagrafo"/>
    <w:rPr>
      <w:rFonts w:eastAsia="Times New Roman" w:cs="Times New Roman"/>
      <w:color w:val="595959"/>
      <w:spacing w:val="15"/>
      <w:sz w:val="28"/>
      <w:szCs w:val="28"/>
    </w:rPr>
  </w:style>
  <w:style w:type="paragraph" w:styleId="Citazione">
    <w:name w:val="Quote"/>
    <w:basedOn w:val="Normale"/>
    <w:next w:val="Normale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Carpredefinitoparagrafo"/>
    <w:rPr>
      <w:i/>
      <w:iCs/>
      <w:color w:val="404040"/>
    </w:rPr>
  </w:style>
  <w:style w:type="paragraph" w:styleId="Paragrafoelenco">
    <w:name w:val="List Paragraph"/>
    <w:basedOn w:val="Normale"/>
    <w:pPr>
      <w:ind w:left="720"/>
      <w:contextualSpacing/>
    </w:pPr>
  </w:style>
  <w:style w:type="character" w:styleId="Enfasiintensa">
    <w:name w:val="Intense Emphasis"/>
    <w:basedOn w:val="Carpredefinitoparagrafo"/>
    <w:rPr>
      <w:i/>
      <w:iCs/>
      <w:color w:val="0F4761"/>
    </w:rPr>
  </w:style>
  <w:style w:type="paragraph" w:styleId="Citazioneintensa">
    <w:name w:val="Intense Quote"/>
    <w:basedOn w:val="Normale"/>
    <w:next w:val="Normal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Carpredefinitoparagrafo"/>
    <w:rPr>
      <w:i/>
      <w:iCs/>
      <w:color w:val="0F4761"/>
    </w:rPr>
  </w:style>
  <w:style w:type="character" w:styleId="Riferimentointenso">
    <w:name w:val="Intense Reference"/>
    <w:basedOn w:val="Carpredefinitoparagrafo"/>
    <w:rPr>
      <w:b/>
      <w:bCs/>
      <w:smallCaps/>
      <w:color w:val="0F4761"/>
      <w:spacing w:val="5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Carpredefinitoparagrafo"/>
    <w:rPr>
      <w:kern w:val="0"/>
      <w:sz w:val="22"/>
      <w:szCs w:val="22"/>
      <w:lang w:val="it-IT"/>
    </w:rPr>
  </w:style>
  <w:style w:type="paragraph" w:styleId="Pidipagina">
    <w:name w:val="footer"/>
    <w:basedOn w:val="Normal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Carpredefinitoparagrafo"/>
    <w:rPr>
      <w:kern w:val="0"/>
      <w:sz w:val="22"/>
      <w:szCs w:val="22"/>
      <w:lang w:val="it-IT"/>
    </w:rPr>
  </w:style>
  <w:style w:type="paragraph" w:customStyle="1" w:styleId="BasicParagraph">
    <w:name w:val="[Basic Paragraph]"/>
    <w:basedOn w:val="Normale"/>
    <w:pPr>
      <w:widowControl w:val="0"/>
      <w:autoSpaceDE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Revisione">
    <w:name w:val="Revision"/>
    <w:hidden/>
    <w:uiPriority w:val="99"/>
    <w:semiHidden/>
    <w:rsid w:val="00630F18"/>
    <w:pPr>
      <w:autoSpaceDN/>
      <w:spacing w:after="0" w:line="240" w:lineRule="auto"/>
    </w:pPr>
    <w:rPr>
      <w:kern w:val="0"/>
      <w:sz w:val="22"/>
      <w:szCs w:val="22"/>
    </w:rPr>
  </w:style>
  <w:style w:type="paragraph" w:styleId="NormaleWeb">
    <w:name w:val="Normal (Web)"/>
    <w:basedOn w:val="Normale"/>
    <w:uiPriority w:val="99"/>
    <w:unhideWhenUsed/>
    <w:rsid w:val="00387BC1"/>
    <w:pPr>
      <w:suppressAutoHyphens w:val="0"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essunaspaziatura">
    <w:name w:val="No Spacing"/>
    <w:link w:val="NessunaspaziaturaCarattere"/>
    <w:uiPriority w:val="1"/>
    <w:qFormat/>
    <w:rsid w:val="00387BC1"/>
    <w:pPr>
      <w:autoSpaceDN/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GB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387BC1"/>
    <w:rPr>
      <w:rFonts w:ascii="Calibri" w:eastAsia="Calibri" w:hAnsi="Calibri" w:cs="Times New Roman"/>
      <w:kern w:val="0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8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8" ma:contentTypeDescription="Een nieuw document maken." ma:contentTypeScope="" ma:versionID="9b4a3e6d8c65a02f93e7f2b082ccca15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7dcfa5b48c8490d48b707e9a5fd0d69f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C756DD-8F43-452E-B284-C6D28A4936E3}">
  <ds:schemaRefs>
    <ds:schemaRef ds:uri="http://schemas.openxmlformats.org/officeDocument/2006/bibliography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1BAC445F-4704-49F8-ADCB-45AAF368C3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DE6287-DC2A-4198-819B-A2FF4249499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34c26fde-9f6d-49f0-beef-4a05c0104b8b"/>
    <ds:schemaRef ds:uri="c831466b-fc18-4eb5-8d83-d4b818f07e0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68580-BFE5-4965-976D-55E259C84980}">
  <ds:schemaRefs>
    <ds:schemaRef ds:uri="http://schemas.microsoft.com/office/2006/metadata/properties"/>
    <ds:schemaRef ds:uri="http://www.w3.org/2000/xmlns/"/>
    <ds:schemaRef ds:uri="c831466b-fc18-4eb5-8d83-d4b818f07e0a"/>
    <ds:schemaRef ds:uri="http://www.w3.org/2001/XMLSchema-instance"/>
    <ds:schemaRef ds:uri="34c26fde-9f6d-49f0-beef-4a05c0104b8b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Links>
    <vt:vector size="6" baseType="variant">
      <vt:variant>
        <vt:i4>6422640</vt:i4>
      </vt:variant>
      <vt:variant>
        <vt:i4>0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Straatman</dc:creator>
  <cp:keywords/>
  <dc:description/>
  <cp:lastModifiedBy>Roberto Beltramolli</cp:lastModifiedBy>
  <cp:revision>3</cp:revision>
  <dcterms:created xsi:type="dcterms:W3CDTF">2024-11-20T10:09:00Z</dcterms:created>
  <dcterms:modified xsi:type="dcterms:W3CDTF">2024-11-20T15:37:00Z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  <property fmtid="{D5CDD505-2E9C-101B-9397-08002B2CF9AE}" pid="3" name="MediaServiceImageTags">
    <vt:lpwstr/>
  </property>
</Properties>
</file>